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66" w:rsidRPr="003034A7" w:rsidRDefault="00124566" w:rsidP="003034A7">
      <w:pPr>
        <w:pStyle w:val="NoSpacing"/>
        <w:rPr>
          <w:rFonts w:ascii="Cambria" w:hAnsi="Cambria"/>
          <w:b/>
          <w:sz w:val="36"/>
        </w:rPr>
      </w:pPr>
    </w:p>
    <w:p w:rsidR="00124566" w:rsidRDefault="00124566" w:rsidP="00822F3D">
      <w:pPr>
        <w:pStyle w:val="NoSpacing"/>
        <w:jc w:val="center"/>
        <w:rPr>
          <w:rFonts w:ascii="Cambria" w:hAnsi="Cambria"/>
          <w:b/>
          <w:sz w:val="28"/>
        </w:rPr>
      </w:pPr>
    </w:p>
    <w:p w:rsidR="00124566" w:rsidRDefault="00124566" w:rsidP="00822F3D">
      <w:pPr>
        <w:pStyle w:val="NoSpacing"/>
        <w:jc w:val="center"/>
        <w:rPr>
          <w:rFonts w:ascii="Cambria" w:hAnsi="Cambria"/>
          <w:b/>
          <w:sz w:val="28"/>
        </w:rPr>
      </w:pPr>
    </w:p>
    <w:p w:rsidR="00124566" w:rsidRPr="00822F3D" w:rsidRDefault="00124566" w:rsidP="00822F3D">
      <w:pPr>
        <w:pStyle w:val="NoSpacing"/>
        <w:jc w:val="center"/>
        <w:rPr>
          <w:rFonts w:ascii="Cambria" w:hAnsi="Cambria"/>
          <w:b/>
          <w:sz w:val="28"/>
        </w:rPr>
      </w:pPr>
      <w:r>
        <w:rPr>
          <w:rFonts w:ascii="Cambria" w:hAnsi="Cambria"/>
          <w:b/>
          <w:sz w:val="28"/>
        </w:rPr>
        <w:t>2011 Geothermal Technologies</w:t>
      </w:r>
      <w:r w:rsidRPr="00822F3D">
        <w:rPr>
          <w:rFonts w:ascii="Cambria" w:hAnsi="Cambria"/>
          <w:b/>
          <w:sz w:val="28"/>
        </w:rPr>
        <w:t xml:space="preserve"> Peer Review</w:t>
      </w:r>
    </w:p>
    <w:p w:rsidR="00124566" w:rsidRDefault="00124566" w:rsidP="00822F3D">
      <w:pPr>
        <w:pStyle w:val="NoSpacing"/>
        <w:jc w:val="center"/>
        <w:rPr>
          <w:rFonts w:ascii="Cambria" w:hAnsi="Cambria"/>
          <w:b/>
          <w:sz w:val="28"/>
        </w:rPr>
      </w:pPr>
      <w:smartTag w:uri="urn:schemas-microsoft-com:office:smarttags" w:element="City">
        <w:smartTag w:uri="urn:schemas-microsoft-com:office:smarttags" w:element="place">
          <w:r>
            <w:rPr>
              <w:rFonts w:ascii="Cambria" w:hAnsi="Cambria"/>
              <w:b/>
              <w:sz w:val="28"/>
            </w:rPr>
            <w:t>Caldwell</w:t>
          </w:r>
        </w:smartTag>
      </w:smartTag>
      <w:r>
        <w:rPr>
          <w:rFonts w:ascii="Cambria" w:hAnsi="Cambria"/>
          <w:b/>
          <w:sz w:val="28"/>
        </w:rPr>
        <w:t xml:space="preserve"> Ranch Exploration and Confirmation Project</w:t>
      </w:r>
    </w:p>
    <w:p w:rsidR="00124566" w:rsidRPr="00822F3D" w:rsidRDefault="00124566" w:rsidP="00822F3D">
      <w:pPr>
        <w:pStyle w:val="NoSpacing"/>
        <w:jc w:val="center"/>
        <w:rPr>
          <w:rFonts w:ascii="Cambria" w:hAnsi="Cambria"/>
          <w:b/>
          <w:sz w:val="28"/>
        </w:rPr>
      </w:pPr>
      <w:r>
        <w:rPr>
          <w:rFonts w:ascii="Cambria" w:hAnsi="Cambria"/>
          <w:b/>
          <w:sz w:val="28"/>
        </w:rPr>
        <w:t>Summary</w:t>
      </w:r>
    </w:p>
    <w:p w:rsidR="00124566" w:rsidRDefault="00124566" w:rsidP="00822F3D">
      <w:pPr>
        <w:pStyle w:val="NoSpacing"/>
      </w:pPr>
    </w:p>
    <w:p w:rsidR="00124566" w:rsidRPr="00822F3D" w:rsidRDefault="00124566" w:rsidP="00822F3D">
      <w:pPr>
        <w:pStyle w:val="NoSpacing"/>
        <w:numPr>
          <w:ilvl w:val="0"/>
          <w:numId w:val="1"/>
        </w:numPr>
        <w:ind w:left="360"/>
        <w:rPr>
          <w:rFonts w:ascii="Cambria" w:hAnsi="Cambria"/>
          <w:b/>
        </w:rPr>
      </w:pPr>
      <w:smartTag w:uri="urn:schemas-microsoft-com:office:smarttags" w:element="City">
        <w:r>
          <w:rPr>
            <w:rFonts w:ascii="Cambria" w:hAnsi="Cambria"/>
            <w:b/>
          </w:rPr>
          <w:t>Caldwell</w:t>
        </w:r>
      </w:smartTag>
      <w:r>
        <w:rPr>
          <w:rFonts w:ascii="Cambria" w:hAnsi="Cambria"/>
          <w:b/>
        </w:rPr>
        <w:t xml:space="preserve"> Ranch Exploration and Confirmation Project,  The Geysers, </w:t>
      </w:r>
      <w:smartTag w:uri="urn:schemas-microsoft-com:office:smarttags" w:element="City">
        <w:smartTag w:uri="urn:schemas-microsoft-com:office:smarttags" w:element="place">
          <w:r>
            <w:rPr>
              <w:rFonts w:ascii="Cambria" w:hAnsi="Cambria"/>
              <w:b/>
            </w:rPr>
            <w:t>Sonoma County</w:t>
          </w:r>
        </w:smartTag>
        <w:r>
          <w:rPr>
            <w:rFonts w:ascii="Cambria" w:hAnsi="Cambria"/>
            <w:b/>
          </w:rPr>
          <w:t xml:space="preserve">, </w:t>
        </w:r>
        <w:smartTag w:uri="urn:schemas-microsoft-com:office:smarttags" w:element="PostalCode">
          <w:smartTag w:uri="urn:schemas-microsoft-com:office:smarttags" w:element="State">
            <w:r>
              <w:rPr>
                <w:rFonts w:ascii="Cambria" w:hAnsi="Cambria"/>
                <w:b/>
              </w:rPr>
              <w:t>CA</w:t>
            </w:r>
          </w:smartTag>
        </w:smartTag>
      </w:smartTag>
    </w:p>
    <w:p w:rsidR="00124566" w:rsidRPr="0043425C" w:rsidRDefault="00124566" w:rsidP="00AA5A61">
      <w:pPr>
        <w:pStyle w:val="NoSpacing"/>
        <w:ind w:left="360" w:firstLine="360"/>
      </w:pPr>
      <w:r>
        <w:t>Company:</w:t>
      </w:r>
      <w:r>
        <w:tab/>
      </w:r>
      <w:r>
        <w:tab/>
        <w:t>Geysers Power Company, LLC (“Calpine”)</w:t>
      </w:r>
    </w:p>
    <w:p w:rsidR="00124566" w:rsidRDefault="00124566" w:rsidP="00AA5A61">
      <w:pPr>
        <w:pStyle w:val="NoSpacing"/>
        <w:ind w:left="360" w:firstLine="360"/>
      </w:pPr>
      <w:r w:rsidRPr="0043425C">
        <w:t>Principal Investigator</w:t>
      </w:r>
      <w:r>
        <w:t>:</w:t>
      </w:r>
      <w:r>
        <w:tab/>
        <w:t>Mark Walters</w:t>
      </w:r>
    </w:p>
    <w:p w:rsidR="00124566" w:rsidRDefault="00124566" w:rsidP="00AA5A61">
      <w:pPr>
        <w:pStyle w:val="NoSpacing"/>
        <w:ind w:left="2520" w:firstLine="360"/>
      </w:pPr>
      <w:smartTag w:uri="urn:schemas-microsoft-com:office:smarttags" w:element="PostalCode">
        <w:smartTag w:uri="urn:schemas-microsoft-com:office:smarttags" w:element="address">
          <w:smartTag w:uri="urn:schemas-microsoft-com:office:smarttags" w:element="Street">
            <w:r>
              <w:t>10350 Socrates Mine Rd.</w:t>
            </w:r>
          </w:smartTag>
        </w:smartTag>
        <w:r>
          <w:t xml:space="preserve">, </w:t>
        </w:r>
        <w:smartTag w:uri="urn:schemas-microsoft-com:office:smarttags" w:element="PostalCode">
          <w:smartTag w:uri="urn:schemas-microsoft-com:office:smarttags" w:element="City">
            <w:r>
              <w:t>Middletown</w:t>
            </w:r>
          </w:smartTag>
        </w:smartTag>
        <w:r>
          <w:t xml:space="preserve">, </w:t>
        </w:r>
        <w:smartTag w:uri="urn:schemas-microsoft-com:office:smarttags" w:element="PostalCode">
          <w:smartTag w:uri="urn:schemas-microsoft-com:office:smarttags" w:element="State">
            <w:r>
              <w:t>CA</w:t>
            </w:r>
          </w:smartTag>
        </w:smartTag>
        <w:r>
          <w:t xml:space="preserve"> </w:t>
        </w:r>
        <w:smartTag w:uri="urn:schemas-microsoft-com:office:smarttags" w:element="PostalCode">
          <w:r>
            <w:t>95461</w:t>
          </w:r>
        </w:smartTag>
      </w:smartTag>
    </w:p>
    <w:p w:rsidR="00124566" w:rsidRDefault="00124566" w:rsidP="00AA5A61">
      <w:pPr>
        <w:pStyle w:val="NoSpacing"/>
        <w:ind w:left="2880"/>
      </w:pPr>
      <w:r>
        <w:t xml:space="preserve">(707) 431- 6101        </w:t>
      </w:r>
      <w:r w:rsidRPr="00AA5A61">
        <w:rPr>
          <w:color w:val="0000FF"/>
        </w:rPr>
        <w:t>WaltersM@Calpine.com</w:t>
      </w:r>
    </w:p>
    <w:p w:rsidR="00124566" w:rsidRDefault="00124566" w:rsidP="00AA5A61">
      <w:pPr>
        <w:pStyle w:val="NoSpacing"/>
        <w:ind w:left="360" w:firstLine="360"/>
      </w:pPr>
      <w:r>
        <w:t>Business Contact:</w:t>
      </w:r>
      <w:r>
        <w:tab/>
      </w:r>
      <w:smartTag w:uri="urn:schemas-microsoft-com:office:smarttags" w:element="PostalCode">
        <w:smartTag w:uri="urn:schemas-microsoft-com:office:smarttags" w:element="PersonName">
          <w:r>
            <w:t>Alison Mannwieler</w:t>
          </w:r>
        </w:smartTag>
      </w:smartTag>
    </w:p>
    <w:p w:rsidR="00124566" w:rsidRDefault="00124566" w:rsidP="00AA5A61">
      <w:pPr>
        <w:pStyle w:val="NoSpacing"/>
        <w:ind w:left="360"/>
      </w:pPr>
      <w:r>
        <w:tab/>
      </w:r>
      <w:r>
        <w:tab/>
      </w:r>
      <w:r>
        <w:tab/>
      </w:r>
      <w:r>
        <w:tab/>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10350 Socrates Mine Rd.</w:t>
              </w:r>
            </w:smartTag>
          </w:smartTag>
          <w:r>
            <w:t xml:space="preserve">, </w:t>
          </w:r>
          <w:smartTag w:uri="urn:schemas-microsoft-com:office:smarttags" w:element="address">
            <w:r>
              <w:t>Middletown</w:t>
            </w:r>
          </w:smartTag>
          <w:r>
            <w:t xml:space="preserve">, </w:t>
          </w:r>
          <w:smartTag w:uri="urn:schemas-microsoft-com:office:smarttags" w:element="address">
            <w:r>
              <w:t>CA</w:t>
            </w:r>
          </w:smartTag>
          <w:r>
            <w:t xml:space="preserve"> </w:t>
          </w:r>
          <w:smartTag w:uri="urn:schemas-microsoft-com:office:smarttags" w:element="address">
            <w:r>
              <w:t>95461</w:t>
            </w:r>
          </w:smartTag>
        </w:smartTag>
      </w:smartTag>
    </w:p>
    <w:p w:rsidR="00124566" w:rsidRDefault="00124566" w:rsidP="00AA5A61">
      <w:pPr>
        <w:pStyle w:val="NoSpacing"/>
        <w:ind w:left="2880"/>
      </w:pPr>
      <w:r>
        <w:t xml:space="preserve">(707) 431- 6221        </w:t>
      </w:r>
      <w:r>
        <w:rPr>
          <w:color w:val="0000FF"/>
        </w:rPr>
        <w:t>MannwielerA</w:t>
      </w:r>
      <w:r w:rsidRPr="00AA5A61">
        <w:rPr>
          <w:color w:val="0000FF"/>
        </w:rPr>
        <w:t>@Calpine.co</w:t>
      </w:r>
      <w:r>
        <w:rPr>
          <w:color w:val="0000FF"/>
        </w:rPr>
        <w:t>m</w:t>
      </w:r>
    </w:p>
    <w:p w:rsidR="00124566" w:rsidRDefault="00124566" w:rsidP="00AA5A61">
      <w:pPr>
        <w:pStyle w:val="NoSpacing"/>
        <w:ind w:left="360" w:firstLine="360"/>
      </w:pPr>
      <w:r>
        <w:t>Project Team: Calpine Resource Technology staff at The Geysers</w:t>
      </w:r>
    </w:p>
    <w:p w:rsidR="00124566" w:rsidRPr="0043425C" w:rsidRDefault="00124566" w:rsidP="00AA5A61">
      <w:pPr>
        <w:pStyle w:val="NoSpacing"/>
        <w:ind w:left="360" w:firstLine="360"/>
      </w:pPr>
      <w:r>
        <w:t>Subcontractors:  Numerous drilling services companies meeting ARRA Davis-Bacon requirements</w:t>
      </w:r>
    </w:p>
    <w:p w:rsidR="00124566" w:rsidRDefault="00124566" w:rsidP="00822F3D">
      <w:pPr>
        <w:pStyle w:val="NoSpacing"/>
        <w:ind w:left="360" w:hanging="360"/>
      </w:pPr>
    </w:p>
    <w:p w:rsidR="00124566" w:rsidRDefault="00124566" w:rsidP="00822F3D">
      <w:pPr>
        <w:pStyle w:val="NoSpacing"/>
        <w:ind w:left="360" w:hanging="360"/>
      </w:pPr>
    </w:p>
    <w:p w:rsidR="00124566" w:rsidRPr="00822F3D" w:rsidRDefault="00124566" w:rsidP="00822F3D">
      <w:pPr>
        <w:pStyle w:val="NoSpacing"/>
        <w:numPr>
          <w:ilvl w:val="0"/>
          <w:numId w:val="1"/>
        </w:numPr>
        <w:ind w:left="360"/>
        <w:rPr>
          <w:rFonts w:ascii="Cambria" w:hAnsi="Cambria"/>
          <w:b/>
        </w:rPr>
      </w:pPr>
      <w:r>
        <w:rPr>
          <w:rFonts w:ascii="Cambria" w:hAnsi="Cambria"/>
          <w:b/>
        </w:rPr>
        <w:t xml:space="preserve">Purpose and Project Objectives </w:t>
      </w:r>
    </w:p>
    <w:p w:rsidR="00124566" w:rsidRDefault="00124566" w:rsidP="00467B27">
      <w:pPr>
        <w:tabs>
          <w:tab w:val="num" w:pos="0"/>
        </w:tabs>
        <w:rPr>
          <w:rFonts w:ascii="Cambria" w:hAnsi="Cambria"/>
          <w:sz w:val="22"/>
          <w:szCs w:val="22"/>
        </w:rPr>
      </w:pPr>
      <w:r w:rsidRPr="00467B27">
        <w:rPr>
          <w:rFonts w:ascii="Cambria" w:hAnsi="Cambria"/>
          <w:sz w:val="22"/>
          <w:szCs w:val="22"/>
        </w:rPr>
        <w:tab/>
      </w:r>
    </w:p>
    <w:p w:rsidR="00124566" w:rsidRPr="00AD0CFB" w:rsidRDefault="00124566" w:rsidP="00AD0CFB">
      <w:pPr>
        <w:tabs>
          <w:tab w:val="num" w:pos="0"/>
        </w:tabs>
        <w:rPr>
          <w:rFonts w:ascii="Cambria" w:hAnsi="Cambria"/>
          <w:sz w:val="22"/>
          <w:szCs w:val="22"/>
        </w:rPr>
      </w:pPr>
      <w:r w:rsidRPr="00AD0CFB">
        <w:rPr>
          <w:rFonts w:ascii="Cambria" w:hAnsi="Cambria" w:cs="Arial"/>
          <w:sz w:val="22"/>
          <w:szCs w:val="22"/>
        </w:rPr>
        <w:t xml:space="preserve">The purpose of </w:t>
      </w:r>
      <w:r>
        <w:rPr>
          <w:rFonts w:ascii="Cambria" w:hAnsi="Cambria" w:cs="Arial"/>
          <w:sz w:val="22"/>
          <w:szCs w:val="22"/>
        </w:rPr>
        <w:t xml:space="preserve">the </w:t>
      </w:r>
      <w:r w:rsidRPr="00AD0CFB">
        <w:rPr>
          <w:rFonts w:ascii="Cambria" w:hAnsi="Cambria" w:cs="Arial"/>
          <w:sz w:val="22"/>
          <w:szCs w:val="22"/>
        </w:rPr>
        <w:t xml:space="preserve">Caldwell Ranch Exploration and Confirmation Project is to drill, test, and confirm the present economic viability of the undeveloped geothermal reservoir in the 870 acre Caldwell Ranch area of the Northwest Geysers. The project area </w:t>
      </w:r>
      <w:r>
        <w:rPr>
          <w:rFonts w:ascii="Cambria" w:hAnsi="Cambria" w:cs="Arial"/>
          <w:sz w:val="22"/>
          <w:szCs w:val="22"/>
        </w:rPr>
        <w:t>is the</w:t>
      </w:r>
      <w:r w:rsidRPr="00AD0CFB">
        <w:rPr>
          <w:rFonts w:ascii="Cambria" w:hAnsi="Cambria" w:cs="Arial"/>
          <w:sz w:val="22"/>
          <w:szCs w:val="22"/>
        </w:rPr>
        <w:t xml:space="preserve"> site of the demolished CCPA No.1 power</w:t>
      </w:r>
      <w:r>
        <w:rPr>
          <w:rFonts w:ascii="Cambria" w:hAnsi="Cambria" w:cs="Arial"/>
          <w:sz w:val="22"/>
          <w:szCs w:val="22"/>
        </w:rPr>
        <w:t xml:space="preserve"> plant and steam field which were abandoned primarily for economic reasons</w:t>
      </w:r>
      <w:r w:rsidRPr="00AD0CFB">
        <w:rPr>
          <w:rFonts w:ascii="Cambria" w:hAnsi="Cambria" w:cs="Arial"/>
          <w:sz w:val="22"/>
          <w:szCs w:val="22"/>
        </w:rPr>
        <w:t xml:space="preserve">. </w:t>
      </w:r>
      <w:r w:rsidRPr="00AD0CFB">
        <w:rPr>
          <w:rFonts w:ascii="Cambria" w:hAnsi="Cambria"/>
          <w:sz w:val="22"/>
          <w:szCs w:val="22"/>
        </w:rPr>
        <w:t xml:space="preserve">The subject wells were permanently shut-in after the CCPA steamfield was closed in May 1996 and </w:t>
      </w:r>
      <w:r>
        <w:rPr>
          <w:rFonts w:ascii="Cambria" w:hAnsi="Cambria"/>
          <w:sz w:val="22"/>
          <w:szCs w:val="22"/>
        </w:rPr>
        <w:t xml:space="preserve">then plugged and </w:t>
      </w:r>
      <w:r w:rsidRPr="00AD0CFB">
        <w:rPr>
          <w:rFonts w:ascii="Cambria" w:hAnsi="Cambria"/>
          <w:sz w:val="22"/>
          <w:szCs w:val="22"/>
        </w:rPr>
        <w:t>abandoned in 1999 and 2000.</w:t>
      </w:r>
      <w:r>
        <w:rPr>
          <w:rFonts w:ascii="Cambria" w:hAnsi="Cambria"/>
          <w:sz w:val="22"/>
          <w:szCs w:val="22"/>
        </w:rPr>
        <w:t xml:space="preserve"> </w:t>
      </w:r>
    </w:p>
    <w:p w:rsidR="00124566" w:rsidRPr="00AD0CFB" w:rsidRDefault="00124566" w:rsidP="00467B27">
      <w:pPr>
        <w:rPr>
          <w:rFonts w:ascii="Cambria" w:hAnsi="Cambria" w:cs="Arial"/>
          <w:sz w:val="22"/>
          <w:szCs w:val="22"/>
        </w:rPr>
      </w:pPr>
      <w:r w:rsidRPr="00AD0CFB">
        <w:rPr>
          <w:rFonts w:ascii="Cambria" w:hAnsi="Cambria" w:cs="Arial"/>
          <w:sz w:val="22"/>
          <w:szCs w:val="22"/>
        </w:rPr>
        <w:t xml:space="preserve"> </w:t>
      </w:r>
    </w:p>
    <w:p w:rsidR="00124566" w:rsidRPr="00AD0CFB" w:rsidRDefault="00124566" w:rsidP="00467B27">
      <w:pPr>
        <w:rPr>
          <w:rFonts w:ascii="Cambria" w:hAnsi="Cambria" w:cs="Arial"/>
          <w:sz w:val="22"/>
          <w:szCs w:val="22"/>
        </w:rPr>
      </w:pPr>
      <w:r w:rsidRPr="00AD0CFB">
        <w:rPr>
          <w:rFonts w:ascii="Cambria" w:hAnsi="Cambria" w:cs="Arial"/>
          <w:sz w:val="22"/>
          <w:szCs w:val="22"/>
        </w:rPr>
        <w:t xml:space="preserve">The objectives of the project </w:t>
      </w:r>
      <w:r>
        <w:rPr>
          <w:rFonts w:ascii="Cambria" w:hAnsi="Cambria" w:cs="Arial"/>
          <w:sz w:val="22"/>
          <w:szCs w:val="22"/>
        </w:rPr>
        <w:t>wer</w:t>
      </w:r>
      <w:r w:rsidRPr="00AD0CFB">
        <w:rPr>
          <w:rFonts w:ascii="Cambria" w:hAnsi="Cambria" w:cs="Arial"/>
          <w:sz w:val="22"/>
          <w:szCs w:val="22"/>
        </w:rPr>
        <w:t>e to:</w:t>
      </w:r>
    </w:p>
    <w:p w:rsidR="00124566" w:rsidRPr="00AD0CFB" w:rsidRDefault="00124566" w:rsidP="00AD0CFB">
      <w:pPr>
        <w:numPr>
          <w:ilvl w:val="0"/>
          <w:numId w:val="13"/>
        </w:numPr>
        <w:rPr>
          <w:rFonts w:ascii="Cambria" w:hAnsi="Cambria" w:cs="Arial"/>
          <w:sz w:val="22"/>
          <w:szCs w:val="22"/>
        </w:rPr>
      </w:pPr>
      <w:r w:rsidRPr="00AD0CFB">
        <w:rPr>
          <w:rFonts w:ascii="Cambria" w:hAnsi="Cambria" w:cs="Arial"/>
          <w:sz w:val="22"/>
          <w:szCs w:val="22"/>
        </w:rPr>
        <w:t>Re-open and re-complete three abandoned</w:t>
      </w:r>
      <w:r>
        <w:rPr>
          <w:rFonts w:ascii="Cambria" w:hAnsi="Cambria" w:cs="Arial"/>
          <w:sz w:val="22"/>
          <w:szCs w:val="22"/>
        </w:rPr>
        <w:t xml:space="preserve"> wells</w:t>
      </w:r>
      <w:r w:rsidRPr="00AD0CFB">
        <w:rPr>
          <w:rFonts w:ascii="Cambria" w:hAnsi="Cambria" w:cs="Arial"/>
          <w:sz w:val="22"/>
          <w:szCs w:val="22"/>
        </w:rPr>
        <w:t>: Prati 5 (P-5), Prati 14 (P-14) and Prati 38 (P-38)</w:t>
      </w:r>
      <w:r>
        <w:rPr>
          <w:rFonts w:ascii="Cambria" w:hAnsi="Cambria" w:cs="Arial"/>
          <w:sz w:val="22"/>
          <w:szCs w:val="22"/>
        </w:rPr>
        <w:t>.</w:t>
      </w:r>
    </w:p>
    <w:p w:rsidR="00124566" w:rsidRDefault="00124566" w:rsidP="00AD0CFB">
      <w:pPr>
        <w:numPr>
          <w:ilvl w:val="0"/>
          <w:numId w:val="13"/>
        </w:numPr>
        <w:rPr>
          <w:rFonts w:ascii="Cambria" w:hAnsi="Cambria" w:cs="Arial"/>
          <w:sz w:val="22"/>
          <w:szCs w:val="22"/>
        </w:rPr>
      </w:pPr>
      <w:r w:rsidRPr="00AD0CFB">
        <w:rPr>
          <w:rFonts w:ascii="Cambria" w:hAnsi="Cambria" w:cs="Arial"/>
          <w:sz w:val="22"/>
          <w:szCs w:val="22"/>
        </w:rPr>
        <w:t xml:space="preserve">Characterize </w:t>
      </w:r>
      <w:r>
        <w:rPr>
          <w:rFonts w:ascii="Cambria" w:hAnsi="Cambria" w:cs="Arial"/>
          <w:sz w:val="22"/>
          <w:szCs w:val="22"/>
        </w:rPr>
        <w:softHyphen/>
      </w:r>
      <w:r w:rsidRPr="00F8787A">
        <w:rPr>
          <w:rFonts w:ascii="Cambria" w:hAnsi="Cambria" w:cs="Arial"/>
          <w:sz w:val="22"/>
          <w:szCs w:val="22"/>
          <w:u w:val="single"/>
        </w:rPr>
        <w:t>current</w:t>
      </w:r>
      <w:r>
        <w:rPr>
          <w:rFonts w:ascii="Cambria" w:hAnsi="Cambria" w:cs="Arial"/>
          <w:sz w:val="22"/>
          <w:szCs w:val="22"/>
        </w:rPr>
        <w:t xml:space="preserve"> </w:t>
      </w:r>
      <w:r w:rsidRPr="00AD0CFB">
        <w:rPr>
          <w:rFonts w:ascii="Cambria" w:hAnsi="Cambria" w:cs="Arial"/>
          <w:sz w:val="22"/>
          <w:szCs w:val="22"/>
        </w:rPr>
        <w:t>reservoir production flow rates, temperature, pressure, thickness, permeability, and fluid chemistry</w:t>
      </w:r>
      <w:r>
        <w:rPr>
          <w:rFonts w:ascii="Cambria" w:hAnsi="Cambria" w:cs="Arial"/>
          <w:sz w:val="22"/>
          <w:szCs w:val="22"/>
        </w:rPr>
        <w:t xml:space="preserve"> </w:t>
      </w:r>
      <w:r w:rsidRPr="00467B27">
        <w:rPr>
          <w:rFonts w:ascii="Cambria" w:hAnsi="Cambria"/>
          <w:sz w:val="22"/>
          <w:szCs w:val="22"/>
        </w:rPr>
        <w:t xml:space="preserve">and compare these </w:t>
      </w:r>
      <w:r>
        <w:rPr>
          <w:rFonts w:ascii="Cambria" w:hAnsi="Cambria"/>
          <w:sz w:val="22"/>
          <w:szCs w:val="22"/>
        </w:rPr>
        <w:t>current data with data</w:t>
      </w:r>
      <w:r w:rsidRPr="00467B27">
        <w:rPr>
          <w:rFonts w:ascii="Cambria" w:hAnsi="Cambria"/>
          <w:sz w:val="22"/>
          <w:szCs w:val="22"/>
        </w:rPr>
        <w:t xml:space="preserve"> </w:t>
      </w:r>
      <w:r>
        <w:rPr>
          <w:rFonts w:ascii="Cambria" w:hAnsi="Cambria"/>
          <w:sz w:val="22"/>
          <w:szCs w:val="22"/>
        </w:rPr>
        <w:t>collected</w:t>
      </w:r>
      <w:r w:rsidRPr="00467B27">
        <w:rPr>
          <w:rFonts w:ascii="Cambria" w:hAnsi="Cambria"/>
          <w:sz w:val="22"/>
          <w:szCs w:val="22"/>
        </w:rPr>
        <w:t xml:space="preserve"> before 1996</w:t>
      </w:r>
      <w:r>
        <w:rPr>
          <w:rFonts w:ascii="Cambria" w:hAnsi="Cambria" w:cs="Arial"/>
          <w:sz w:val="22"/>
          <w:szCs w:val="22"/>
        </w:rPr>
        <w:t xml:space="preserve">.  </w:t>
      </w:r>
      <w:r>
        <w:rPr>
          <w:rFonts w:ascii="Cambria" w:hAnsi="Cambria"/>
          <w:sz w:val="22"/>
          <w:szCs w:val="22"/>
        </w:rPr>
        <w:t xml:space="preserve">The </w:t>
      </w:r>
      <w:r w:rsidRPr="00467B27">
        <w:rPr>
          <w:rFonts w:ascii="Cambria" w:hAnsi="Cambria"/>
          <w:sz w:val="22"/>
          <w:szCs w:val="22"/>
        </w:rPr>
        <w:t xml:space="preserve">determination of </w:t>
      </w:r>
      <w:r>
        <w:rPr>
          <w:rFonts w:ascii="Cambria" w:hAnsi="Cambria"/>
          <w:sz w:val="22"/>
          <w:szCs w:val="22"/>
        </w:rPr>
        <w:t xml:space="preserve">the vertical depth distribution of NCG </w:t>
      </w:r>
      <w:r w:rsidRPr="00467B27">
        <w:rPr>
          <w:rFonts w:ascii="Cambria" w:hAnsi="Cambria"/>
          <w:sz w:val="22"/>
          <w:szCs w:val="22"/>
        </w:rPr>
        <w:t>concentrations</w:t>
      </w:r>
      <w:r>
        <w:rPr>
          <w:rFonts w:ascii="Cambria" w:hAnsi="Cambria"/>
          <w:sz w:val="22"/>
          <w:szCs w:val="22"/>
        </w:rPr>
        <w:t xml:space="preserve"> using a high-temperature (~350 </w:t>
      </w:r>
      <w:r w:rsidRPr="00E001C4">
        <w:rPr>
          <w:rFonts w:ascii="Cambria" w:hAnsi="Cambria"/>
          <w:sz w:val="22"/>
          <w:szCs w:val="22"/>
          <w:vertAlign w:val="superscript"/>
        </w:rPr>
        <w:t>o</w:t>
      </w:r>
      <w:r>
        <w:rPr>
          <w:rFonts w:ascii="Cambria" w:hAnsi="Cambria"/>
          <w:sz w:val="22"/>
          <w:szCs w:val="22"/>
        </w:rPr>
        <w:t>C) downhole geochemical sampler and high-temperature logging tools</w:t>
      </w:r>
      <w:r w:rsidRPr="00467B27">
        <w:rPr>
          <w:rFonts w:ascii="Cambria" w:hAnsi="Cambria"/>
          <w:sz w:val="22"/>
          <w:szCs w:val="22"/>
        </w:rPr>
        <w:t xml:space="preserve"> is a </w:t>
      </w:r>
      <w:r>
        <w:rPr>
          <w:rFonts w:ascii="Cambria" w:hAnsi="Cambria"/>
          <w:sz w:val="22"/>
          <w:szCs w:val="22"/>
        </w:rPr>
        <w:t>significant</w:t>
      </w:r>
      <w:r w:rsidRPr="00467B27">
        <w:rPr>
          <w:rFonts w:ascii="Cambria" w:hAnsi="Cambria"/>
          <w:sz w:val="22"/>
          <w:szCs w:val="22"/>
        </w:rPr>
        <w:t xml:space="preserve"> </w:t>
      </w:r>
      <w:r>
        <w:rPr>
          <w:rFonts w:ascii="Cambria" w:hAnsi="Cambria"/>
          <w:sz w:val="22"/>
          <w:szCs w:val="22"/>
        </w:rPr>
        <w:t xml:space="preserve">part of this </w:t>
      </w:r>
      <w:r w:rsidRPr="00467B27">
        <w:rPr>
          <w:rFonts w:ascii="Cambria" w:hAnsi="Cambria"/>
          <w:sz w:val="22"/>
          <w:szCs w:val="22"/>
        </w:rPr>
        <w:t>objective.</w:t>
      </w:r>
    </w:p>
    <w:p w:rsidR="00124566" w:rsidRDefault="00124566" w:rsidP="00AD0CFB">
      <w:pPr>
        <w:numPr>
          <w:ilvl w:val="0"/>
          <w:numId w:val="13"/>
        </w:numPr>
        <w:rPr>
          <w:rFonts w:ascii="Cambria" w:hAnsi="Cambria" w:cs="Arial"/>
          <w:sz w:val="22"/>
          <w:szCs w:val="22"/>
        </w:rPr>
      </w:pPr>
      <w:r w:rsidRPr="00AD0CFB">
        <w:rPr>
          <w:rFonts w:ascii="Cambria" w:hAnsi="Cambria" w:cs="Arial"/>
          <w:sz w:val="22"/>
          <w:szCs w:val="22"/>
        </w:rPr>
        <w:t xml:space="preserve">Update the </w:t>
      </w:r>
      <w:r>
        <w:rPr>
          <w:rFonts w:ascii="Cambria" w:hAnsi="Cambria" w:cs="Arial"/>
          <w:sz w:val="22"/>
          <w:szCs w:val="22"/>
        </w:rPr>
        <w:t>preliminary</w:t>
      </w:r>
      <w:r w:rsidRPr="00AD0CFB">
        <w:rPr>
          <w:rFonts w:ascii="Cambria" w:hAnsi="Cambria" w:cs="Arial"/>
          <w:sz w:val="22"/>
          <w:szCs w:val="22"/>
        </w:rPr>
        <w:t xml:space="preserve"> LBNL </w:t>
      </w:r>
      <w:r>
        <w:rPr>
          <w:rFonts w:ascii="Cambria" w:hAnsi="Cambria" w:cs="Arial"/>
          <w:sz w:val="22"/>
          <w:szCs w:val="22"/>
        </w:rPr>
        <w:t xml:space="preserve">geologic </w:t>
      </w:r>
      <w:r w:rsidRPr="00AD0CFB">
        <w:rPr>
          <w:rFonts w:ascii="Cambria" w:hAnsi="Cambria" w:cs="Arial"/>
          <w:sz w:val="22"/>
          <w:szCs w:val="22"/>
        </w:rPr>
        <w:t xml:space="preserve">reservoir model </w:t>
      </w:r>
      <w:r>
        <w:rPr>
          <w:rFonts w:ascii="Cambria" w:hAnsi="Cambria" w:cs="Arial"/>
          <w:sz w:val="22"/>
          <w:szCs w:val="22"/>
        </w:rPr>
        <w:t xml:space="preserve">for the adjacent Northwest Geysers EGS Demonstration Project </w:t>
      </w:r>
      <w:r w:rsidRPr="00AD0CFB">
        <w:rPr>
          <w:rFonts w:ascii="Cambria" w:hAnsi="Cambria" w:cs="Arial"/>
          <w:sz w:val="22"/>
          <w:szCs w:val="22"/>
        </w:rPr>
        <w:t xml:space="preserve">with the data from the P-5, P-14, and P-38 wells. </w:t>
      </w:r>
    </w:p>
    <w:p w:rsidR="00124566" w:rsidRPr="00467B27" w:rsidRDefault="00124566" w:rsidP="00F8787A">
      <w:pPr>
        <w:tabs>
          <w:tab w:val="num" w:pos="0"/>
        </w:tabs>
        <w:rPr>
          <w:rFonts w:ascii="Cambria" w:hAnsi="Cambria"/>
          <w:sz w:val="22"/>
          <w:szCs w:val="22"/>
        </w:rPr>
      </w:pPr>
      <w:r>
        <w:rPr>
          <w:rFonts w:ascii="Cambria" w:hAnsi="Cambria" w:cs="Arial"/>
          <w:sz w:val="22"/>
          <w:szCs w:val="22"/>
        </w:rPr>
        <w:t>Calpine’s goal is</w:t>
      </w:r>
      <w:r w:rsidRPr="00AD0CFB">
        <w:rPr>
          <w:rFonts w:ascii="Cambria" w:hAnsi="Cambria" w:cs="Arial"/>
          <w:sz w:val="22"/>
          <w:szCs w:val="22"/>
        </w:rPr>
        <w:t xml:space="preserve"> to determine the feasibility of developing a </w:t>
      </w:r>
      <w:r>
        <w:rPr>
          <w:rFonts w:ascii="Cambria" w:hAnsi="Cambria" w:cs="Arial"/>
          <w:sz w:val="22"/>
          <w:szCs w:val="22"/>
        </w:rPr>
        <w:t xml:space="preserve">new sustainable </w:t>
      </w:r>
      <w:r w:rsidRPr="00AD0CFB">
        <w:rPr>
          <w:rFonts w:ascii="Cambria" w:hAnsi="Cambria" w:cs="Arial"/>
          <w:sz w:val="22"/>
          <w:szCs w:val="22"/>
        </w:rPr>
        <w:t xml:space="preserve">steam supply to </w:t>
      </w:r>
      <w:r>
        <w:rPr>
          <w:rFonts w:ascii="Cambria" w:hAnsi="Cambria" w:cs="Arial"/>
          <w:sz w:val="22"/>
          <w:szCs w:val="22"/>
        </w:rPr>
        <w:t xml:space="preserve">existing power plants, or the proposed Wild Horse Power Plant.  </w:t>
      </w:r>
      <w:r w:rsidRPr="00467B27">
        <w:rPr>
          <w:rFonts w:ascii="Cambria" w:hAnsi="Cambria"/>
          <w:sz w:val="22"/>
          <w:szCs w:val="22"/>
        </w:rPr>
        <w:t xml:space="preserve">Re-development of the Caldwell Ranch Project area will depend heavily on current noncondensible gas (NCG) concentrations, and Calpine’s ability to mitigate NCG concentration levels. </w:t>
      </w:r>
    </w:p>
    <w:p w:rsidR="00124566" w:rsidRPr="00AD0CFB" w:rsidRDefault="00124566" w:rsidP="00F8787A">
      <w:pPr>
        <w:rPr>
          <w:rFonts w:ascii="Cambria" w:hAnsi="Cambria" w:cs="Arial"/>
          <w:sz w:val="22"/>
          <w:szCs w:val="22"/>
        </w:rPr>
      </w:pPr>
    </w:p>
    <w:p w:rsidR="00124566" w:rsidRDefault="00124566" w:rsidP="00BE5F39">
      <w:pPr>
        <w:pStyle w:val="NoSpacing"/>
      </w:pPr>
      <w:r>
        <w:rPr>
          <w:rFonts w:ascii="Cambria" w:hAnsi="Cambria"/>
        </w:rPr>
        <w:t xml:space="preserve">The project’s purpose </w:t>
      </w:r>
      <w:r>
        <w:t>is to bring additional megawatts of geothermal power on-line. Previous studies by others indicate the Caldwell Ranch area may be capable of generating 22 to 45 megawatts (MW) of electrical power.</w:t>
      </w:r>
    </w:p>
    <w:p w:rsidR="00124566" w:rsidRDefault="00124566" w:rsidP="00EF4277">
      <w:pPr>
        <w:pStyle w:val="NoSpacing"/>
        <w:ind w:left="720"/>
      </w:pPr>
    </w:p>
    <w:p w:rsidR="00124566" w:rsidRDefault="00124566" w:rsidP="00216183">
      <w:pPr>
        <w:pStyle w:val="NoSpacing"/>
        <w:numPr>
          <w:ilvl w:val="0"/>
          <w:numId w:val="1"/>
        </w:numPr>
        <w:ind w:left="360"/>
        <w:rPr>
          <w:rFonts w:ascii="Cambria" w:hAnsi="Cambria"/>
          <w:b/>
        </w:rPr>
      </w:pPr>
      <w:r>
        <w:rPr>
          <w:rFonts w:ascii="Cambria" w:hAnsi="Cambria"/>
          <w:b/>
        </w:rPr>
        <w:t>Technical Challenges and Targets</w:t>
      </w:r>
    </w:p>
    <w:p w:rsidR="00124566" w:rsidRDefault="00124566" w:rsidP="00BE5F39">
      <w:pPr>
        <w:pStyle w:val="NoSpacing"/>
        <w:ind w:left="360"/>
      </w:pPr>
      <w:r>
        <w:t xml:space="preserve">Drilling challenges included the removal of cement plugs and retainers, repairing of damaged casing, fishing for coiled tubing dropped during production, clean-out of bridges in open wellbore, and the sidetracking of the wellbores through unstable formation with lost circulation zones. The subject wells were deepened into rocks with temperatures near 350 </w:t>
      </w:r>
      <w:r w:rsidRPr="00E001C4">
        <w:rPr>
          <w:rFonts w:ascii="Cambria" w:hAnsi="Cambria"/>
          <w:vertAlign w:val="superscript"/>
        </w:rPr>
        <w:t>o</w:t>
      </w:r>
      <w:r>
        <w:rPr>
          <w:rFonts w:ascii="Cambria" w:hAnsi="Cambria"/>
        </w:rPr>
        <w:t>C.</w:t>
      </w:r>
    </w:p>
    <w:p w:rsidR="00124566" w:rsidRDefault="00124566" w:rsidP="00C57DCD">
      <w:pPr>
        <w:pStyle w:val="NoSpacing"/>
        <w:ind w:left="360" w:hanging="360"/>
        <w:rPr>
          <w:b/>
        </w:rPr>
      </w:pPr>
      <w:r w:rsidRPr="00C57DCD">
        <w:rPr>
          <w:b/>
        </w:rPr>
        <w:t xml:space="preserve">     </w:t>
      </w:r>
      <w:r>
        <w:rPr>
          <w:b/>
        </w:rPr>
        <w:t xml:space="preserve"> </w:t>
      </w:r>
    </w:p>
    <w:p w:rsidR="00124566" w:rsidRPr="00C57DCD" w:rsidRDefault="00124566" w:rsidP="00C57DCD">
      <w:pPr>
        <w:pStyle w:val="NoSpacing"/>
        <w:ind w:left="360" w:hanging="360"/>
      </w:pPr>
      <w:r>
        <w:rPr>
          <w:b/>
        </w:rPr>
        <w:tab/>
      </w:r>
      <w:r>
        <w:t>A primary performance metric for re-opening and re-completing the subject wells is the number of days spent drilling. The subject wells were programmed for re-opening, deepening and re-completion in 30 to 60 drilling days at nominal costs of $2 to $5 million, respectively.  In comparison, new “grass roots” well to a nominal depth of 10,000’ at The Geysers costs requires about 90 days to drill and costs approximately $6.5 million.</w:t>
      </w:r>
    </w:p>
    <w:p w:rsidR="00124566" w:rsidRPr="00D145E6" w:rsidRDefault="00124566" w:rsidP="00C57DCD">
      <w:pPr>
        <w:pStyle w:val="NoSpacing"/>
        <w:rPr>
          <w:b/>
        </w:rPr>
      </w:pPr>
      <w:r>
        <w:rPr>
          <w:b/>
        </w:rPr>
        <w:tab/>
      </w:r>
    </w:p>
    <w:p w:rsidR="00124566" w:rsidRPr="00822F3D" w:rsidRDefault="00124566" w:rsidP="00822F3D">
      <w:pPr>
        <w:pStyle w:val="NoSpacing"/>
        <w:numPr>
          <w:ilvl w:val="0"/>
          <w:numId w:val="1"/>
        </w:numPr>
        <w:ind w:left="360"/>
        <w:rPr>
          <w:rFonts w:ascii="Cambria" w:hAnsi="Cambria"/>
          <w:b/>
        </w:rPr>
      </w:pPr>
      <w:r w:rsidRPr="00822F3D">
        <w:rPr>
          <w:rFonts w:ascii="Cambria" w:hAnsi="Cambria"/>
          <w:b/>
        </w:rPr>
        <w:t>Technical Approach</w:t>
      </w:r>
    </w:p>
    <w:p w:rsidR="00124566" w:rsidRDefault="00124566" w:rsidP="007500FD">
      <w:pPr>
        <w:pStyle w:val="NoSpacing"/>
        <w:ind w:left="360"/>
      </w:pPr>
      <w:r>
        <w:t xml:space="preserve">Our approach to solving foreseen drilling problems was to use aerated drilling fluids and foam cement to drill through unstable formation and lost circulation zones. </w:t>
      </w:r>
    </w:p>
    <w:p w:rsidR="00124566" w:rsidRDefault="00124566" w:rsidP="007500FD">
      <w:pPr>
        <w:pStyle w:val="NoSpacing"/>
        <w:ind w:left="360"/>
      </w:pPr>
    </w:p>
    <w:p w:rsidR="00124566" w:rsidRDefault="00124566" w:rsidP="007500FD">
      <w:pPr>
        <w:pStyle w:val="NoSpacing"/>
        <w:ind w:left="360"/>
      </w:pPr>
      <w:r>
        <w:t xml:space="preserve">Temperatures approaching 400 </w:t>
      </w:r>
      <w:r w:rsidRPr="007500FD">
        <w:rPr>
          <w:vertAlign w:val="superscript"/>
        </w:rPr>
        <w:t>0</w:t>
      </w:r>
      <w:r>
        <w:t xml:space="preserve">C are known in the NW Geysers Demonstration Project which is adjacent to the Caldwell Ranch Project area. The high temperatures encountered in the wellbores required specialized downhole geochemical sampling equipment and pressure-temperature (PT) and pressure-temperature-spinner (PTS) tools. </w:t>
      </w:r>
    </w:p>
    <w:p w:rsidR="00124566" w:rsidRDefault="00124566" w:rsidP="007500FD">
      <w:pPr>
        <w:pStyle w:val="NoSpacing"/>
        <w:ind w:left="360"/>
      </w:pPr>
    </w:p>
    <w:p w:rsidR="00124566" w:rsidRDefault="00124566" w:rsidP="007500FD">
      <w:pPr>
        <w:pStyle w:val="NoSpacing"/>
        <w:ind w:left="360"/>
      </w:pPr>
      <w:r>
        <w:t>An innovative combination of isotopic analyses of the rocks, fluids, and noble gasses collected from the wells in addition to the static and flowing log interpretation was designed to provide inputs to understanding the hydrothermal reservoir volume and thermal structure. The collection of cores was particularly because the physical properties of the rock in the high temperature reservoir (HTR) have not previously been measured.</w:t>
      </w:r>
    </w:p>
    <w:p w:rsidR="00124566" w:rsidRDefault="00124566" w:rsidP="00822F3D">
      <w:pPr>
        <w:pStyle w:val="NoSpacing"/>
        <w:ind w:left="360"/>
      </w:pPr>
    </w:p>
    <w:p w:rsidR="00124566" w:rsidRDefault="00124566" w:rsidP="007D3260">
      <w:pPr>
        <w:pStyle w:val="NoSpacing"/>
        <w:numPr>
          <w:ilvl w:val="0"/>
          <w:numId w:val="1"/>
        </w:numPr>
        <w:ind w:left="360"/>
        <w:rPr>
          <w:rFonts w:ascii="Cambria" w:hAnsi="Cambria"/>
          <w:b/>
        </w:rPr>
      </w:pPr>
      <w:r>
        <w:rPr>
          <w:rFonts w:ascii="Cambria" w:hAnsi="Cambria"/>
          <w:b/>
        </w:rPr>
        <w:t>Technical Accomplishments</w:t>
      </w:r>
    </w:p>
    <w:p w:rsidR="00124566" w:rsidRDefault="00124566" w:rsidP="00DF3791">
      <w:pPr>
        <w:pStyle w:val="NoSpacing"/>
        <w:numPr>
          <w:ilvl w:val="0"/>
          <w:numId w:val="14"/>
        </w:numPr>
      </w:pPr>
      <w:r>
        <w:t>Three abandoned wells were re-opened and recompleted to nominal depths of 10,000 feet. Two of the wells required sidetracking.</w:t>
      </w:r>
    </w:p>
    <w:p w:rsidR="00124566" w:rsidRDefault="00124566" w:rsidP="00DF3791">
      <w:pPr>
        <w:pStyle w:val="NoSpacing"/>
        <w:numPr>
          <w:ilvl w:val="0"/>
          <w:numId w:val="14"/>
        </w:numPr>
      </w:pPr>
      <w:r>
        <w:t>Two flow tests plus an estimate indicate Prati 5 Sidetrack 1 (P-5 St1), Prati 14 (P-14) and Prati 38 Sidetrack 2 (P-38 St2) are capable of initially capable of producing an equivalent of 12 megawatts (MW) of steam using a conversion rate of 19,000 pounds of steam/hour (KPH) per megawatt/hour.</w:t>
      </w:r>
    </w:p>
    <w:p w:rsidR="00124566" w:rsidRDefault="00124566" w:rsidP="00DF3791">
      <w:pPr>
        <w:pStyle w:val="NoSpacing"/>
        <w:numPr>
          <w:ilvl w:val="0"/>
          <w:numId w:val="14"/>
        </w:numPr>
      </w:pPr>
      <w:r>
        <w:t xml:space="preserve">Both downhole and surface geochemical samples were collected and analyzed. The preliminary analyses show that the current conditions in the reservoir are notably different than the pre-1996 geothermal reservoir. The noncondensible gas concentrations from P-5 St1 and P-38 St2 are significantly lower than when the original wells which were produced prior to May 1996. </w:t>
      </w:r>
    </w:p>
    <w:p w:rsidR="00124566" w:rsidRDefault="00124566" w:rsidP="00DF3791">
      <w:pPr>
        <w:pStyle w:val="NoSpacing"/>
        <w:numPr>
          <w:ilvl w:val="0"/>
          <w:numId w:val="14"/>
        </w:numPr>
      </w:pPr>
      <w:r>
        <w:t xml:space="preserve">A core was retrieved from P-5 St1 from a depth of 9940 feet with measured rock temperatures exceeding 650 </w:t>
      </w:r>
      <w:r w:rsidRPr="00DD1EA8">
        <w:rPr>
          <w:vertAlign w:val="superscript"/>
        </w:rPr>
        <w:t>o</w:t>
      </w:r>
      <w:r>
        <w:t xml:space="preserve">F (&gt;345 </w:t>
      </w:r>
      <w:r w:rsidRPr="00DD1EA8">
        <w:rPr>
          <w:vertAlign w:val="superscript"/>
        </w:rPr>
        <w:t>o</w:t>
      </w:r>
      <w:r>
        <w:t>C).</w:t>
      </w:r>
    </w:p>
    <w:p w:rsidR="00124566" w:rsidRDefault="00124566" w:rsidP="00822F3D">
      <w:pPr>
        <w:pStyle w:val="NoSpacing"/>
      </w:pPr>
    </w:p>
    <w:p w:rsidR="00124566" w:rsidRPr="00822F3D" w:rsidRDefault="00124566" w:rsidP="00822F3D">
      <w:pPr>
        <w:pStyle w:val="NoSpacing"/>
        <w:numPr>
          <w:ilvl w:val="0"/>
          <w:numId w:val="1"/>
        </w:numPr>
        <w:ind w:left="360"/>
        <w:rPr>
          <w:rFonts w:ascii="Cambria" w:hAnsi="Cambria"/>
          <w:b/>
        </w:rPr>
      </w:pPr>
      <w:r w:rsidRPr="00822F3D">
        <w:rPr>
          <w:rFonts w:ascii="Cambria" w:hAnsi="Cambria"/>
          <w:b/>
        </w:rPr>
        <w:t>Challenges to Date</w:t>
      </w:r>
    </w:p>
    <w:p w:rsidR="00124566" w:rsidRDefault="00124566" w:rsidP="00D97274">
      <w:pPr>
        <w:pStyle w:val="NoSpacing"/>
        <w:numPr>
          <w:ilvl w:val="0"/>
          <w:numId w:val="10"/>
        </w:numPr>
      </w:pPr>
      <w:r>
        <w:t xml:space="preserve">All of the drilling, logging, and sampling challenges due to the high temperature conditions were met. </w:t>
      </w:r>
    </w:p>
    <w:p w:rsidR="00124566" w:rsidRDefault="00124566" w:rsidP="00D97274">
      <w:pPr>
        <w:pStyle w:val="NoSpacing"/>
        <w:numPr>
          <w:ilvl w:val="0"/>
          <w:numId w:val="10"/>
        </w:numPr>
      </w:pPr>
      <w:r>
        <w:t>The problems in obtaining a high-temperature core while circulating with air were met by using a relatively high-rate of water “mist” injection while coring  in a reduced-diameter well bore so that the core drilling assemble would fit snuggly and not wobble.</w:t>
      </w:r>
    </w:p>
    <w:p w:rsidR="00124566" w:rsidRPr="00822F3D" w:rsidRDefault="00124566" w:rsidP="00822F3D">
      <w:pPr>
        <w:rPr>
          <w:rFonts w:ascii="Cambria" w:hAnsi="Cambria"/>
          <w:b/>
        </w:rPr>
      </w:pPr>
    </w:p>
    <w:p w:rsidR="00124566" w:rsidRDefault="00124566" w:rsidP="007D3260">
      <w:pPr>
        <w:pStyle w:val="NoSpacing"/>
        <w:numPr>
          <w:ilvl w:val="0"/>
          <w:numId w:val="1"/>
        </w:numPr>
        <w:ind w:left="360"/>
        <w:rPr>
          <w:rFonts w:ascii="Cambria" w:hAnsi="Cambria"/>
          <w:b/>
        </w:rPr>
      </w:pPr>
      <w:r>
        <w:rPr>
          <w:rFonts w:ascii="Cambria" w:hAnsi="Cambria"/>
          <w:b/>
        </w:rPr>
        <w:t>Conclusion and Plans for the future</w:t>
      </w:r>
    </w:p>
    <w:p w:rsidR="00124566" w:rsidRDefault="00124566" w:rsidP="00982C61">
      <w:pPr>
        <w:pStyle w:val="NoSpacing"/>
      </w:pPr>
      <w:r>
        <w:t xml:space="preserve">The project consisted of three phases: (1) Identification of existing wells to characterize the geothermal reservoir in Caldwell Ranch Project Area; (2) Re-opening and recompleting three previously abandoned wells; and (3) Well testing and laboratory analyses. Phase 1 and Phase 2 are complete. Well testing and core analysis will be complete by the end of FY 2011. The goal is to connect the Caldwell Ranch Project wells to an existing power, or if economically feasible as determined by reservoir modeling and flow predictions, construct the Wild Horse Power Plant. Whether or not the Wild Horse Power Plant is constructed, or the steam is piped to an existing power plant, it is Calpine’s goal to add </w:t>
      </w:r>
      <w:r w:rsidRPr="001821AB">
        <w:rPr>
          <w:u w:val="single"/>
        </w:rPr>
        <w:t>sustainable</w:t>
      </w:r>
      <w:r>
        <w:t xml:space="preserve"> net production from the Caldwell Ranch Project area to The Geysers output without increasing the decline of adjacent, existing steam fields. </w:t>
      </w:r>
    </w:p>
    <w:p w:rsidR="00124566" w:rsidRPr="007D3260" w:rsidRDefault="00124566" w:rsidP="007D3260">
      <w:pPr>
        <w:pStyle w:val="NoSpacing"/>
      </w:pPr>
    </w:p>
    <w:p w:rsidR="00124566" w:rsidRDefault="00124566" w:rsidP="007D3260">
      <w:pPr>
        <w:pStyle w:val="NoSpacing"/>
        <w:numPr>
          <w:ilvl w:val="0"/>
          <w:numId w:val="1"/>
        </w:numPr>
        <w:ind w:left="360"/>
        <w:rPr>
          <w:rFonts w:ascii="Cambria" w:hAnsi="Cambria"/>
          <w:b/>
        </w:rPr>
      </w:pPr>
      <w:r>
        <w:rPr>
          <w:rFonts w:ascii="Cambria" w:hAnsi="Cambria"/>
          <w:b/>
        </w:rPr>
        <w:t>Publications and Presentations</w:t>
      </w:r>
    </w:p>
    <w:p w:rsidR="00124566" w:rsidRPr="00D97274" w:rsidRDefault="00124566" w:rsidP="001821AB">
      <w:pPr>
        <w:pStyle w:val="NoSpacing"/>
        <w:ind w:left="360"/>
      </w:pPr>
      <w:r>
        <w:t>None to date.</w:t>
      </w:r>
    </w:p>
    <w:sectPr w:rsidR="00124566" w:rsidRPr="00D97274" w:rsidSect="00D97274">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66" w:rsidRDefault="00124566">
      <w:r>
        <w:separator/>
      </w:r>
    </w:p>
  </w:endnote>
  <w:endnote w:type="continuationSeparator" w:id="0">
    <w:p w:rsidR="00124566" w:rsidRDefault="0012456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altName w:val="Times New Roman"/>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6" w:rsidRDefault="00124566" w:rsidP="003F1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566" w:rsidRDefault="00124566" w:rsidP="003F1E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6" w:rsidRPr="007C37BD" w:rsidRDefault="00124566" w:rsidP="003F1E16">
    <w:pPr>
      <w:pStyle w:val="Footer"/>
      <w:framePr w:wrap="around" w:vAnchor="text" w:hAnchor="page" w:x="11242" w:y="104"/>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Pr>
        <w:rStyle w:val="PageNumber"/>
        <w:noProof/>
        <w:sz w:val="18"/>
      </w:rPr>
      <w:t>2</w:t>
    </w:r>
    <w:r w:rsidRPr="007C37BD">
      <w:rPr>
        <w:rStyle w:val="PageNumber"/>
        <w:sz w:val="18"/>
      </w:rPr>
      <w:fldChar w:fldCharType="end"/>
    </w:r>
  </w:p>
  <w:p w:rsidR="00124566" w:rsidRDefault="00124566" w:rsidP="003F1E16">
    <w:pPr>
      <w:pStyle w:val="Footer"/>
      <w:ind w:right="360"/>
    </w:pPr>
    <w:r>
      <w:rPr>
        <w:noProof/>
      </w:rPr>
      <w:pict>
        <v:rect id="_x0000_s2051" style="position:absolute;margin-left:0;margin-top:751.35pt;width:518.4pt;height:4.3pt;z-index:-251656704;mso-position-vertical-relative:page" wrapcoords="-31 0 -31 18000 21600 18000 21600 0 -31 0" fillcolor="#006892" stroked="f" strokecolor="#4a7ebb" strokeweight="1.5pt">
          <v:fill o:detectmouseclick="t"/>
          <v:shadow opacity="22938f" offset="0"/>
          <v:textbox inset=",7.2pt,,7.2pt"/>
          <w10:wrap type="tight"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6" w:rsidRDefault="00124566">
    <w:pPr>
      <w:pStyle w:val="Footer"/>
    </w:pPr>
    <w:r>
      <w:rPr>
        <w:noProof/>
      </w:rPr>
      <w:pict>
        <v:rect id="_x0000_s2057" style="position:absolute;margin-left:0;margin-top:751.35pt;width:540pt;height:4.3pt;z-index:-251657728;mso-position-vertical-relative:page" wrapcoords="-30 0 -30 18000 21600 18000 21600 0 -30 0" fillcolor="#00b050" stroked="f" strokecolor="#4a7ebb" strokeweight="1.5pt">
          <v:fill o:detectmouseclick="t"/>
          <v:shadow opacity="22938f" offset="0"/>
          <v:textbox inset=",7.2pt,,7.2pt"/>
          <w10:wrap type="tight"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66" w:rsidRDefault="00124566">
      <w:r>
        <w:separator/>
      </w:r>
    </w:p>
  </w:footnote>
  <w:footnote w:type="continuationSeparator" w:id="0">
    <w:p w:rsidR="00124566" w:rsidRDefault="0012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6" w:rsidRDefault="001245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49" type="#_x0000_t75" alt="logo_color_2" style="position:absolute;margin-left:2pt;margin-top:-11pt;width:172.65pt;height:26pt;z-index:251660800;visibility:visible">
          <v:imagedata r:id="rId1" o:title=""/>
        </v:shape>
      </w:pict>
    </w:r>
    <w:r>
      <w:rPr>
        <w:noProof/>
      </w:rPr>
      <w:pict>
        <v:rect id="_x0000_s2050" style="position:absolute;margin-left:0;margin-top:63.2pt;width:540pt;height:4.3pt;z-index:-251654656;mso-position-vertical-relative:page" wrapcoords="-30 0 -30 18000 21600 18000 21600 0 -30 0" fillcolor="#006892" stroked="f" strokecolor="#4a7ebb" strokeweight="1.5pt">
          <v:fill o:detectmouseclick="t"/>
          <v:shadow opacity="22938f" offset="0"/>
          <v:textbox inset=",7.2pt,,7.2pt"/>
          <w10:wrap type="tight"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6" w:rsidRDefault="00124566">
    <w:pPr>
      <w:pStyle w:val="Header"/>
    </w:pPr>
    <w:r>
      <w:rPr>
        <w:noProof/>
      </w:rPr>
      <w:pict>
        <v:rect id="_x0000_s2052" style="position:absolute;margin-left:270pt;margin-top:49.5pt;width:270pt;height:4.7pt;flip:y;z-index:251656704" fillcolor="#00a4e4" stroked="f" strokecolor="blue" strokeweight="1.5pt">
          <v:fill o:detectmouseclick="t"/>
          <v:shadow opacity="22938f" offset="0"/>
          <v:textbox inset=",7.2pt,,7.2pt"/>
        </v:rect>
      </w:pict>
    </w:r>
    <w:r>
      <w:rPr>
        <w:noProof/>
      </w:rPr>
      <w:pict>
        <v:rect id="_x0000_s2053" style="position:absolute;margin-left:198pt;margin-top:49.5pt;width:1in;height:4.7pt;flip:y;z-index:251655680" fillcolor="#ffd200" stroked="f" strokecolor="blue" strokeweight="1.5pt">
          <v:fill o:detectmouseclick="t"/>
          <v:shadow opacity="22938f" offset="0"/>
          <v:textbox inset=",7.2pt,,7.2pt"/>
        </v:rect>
      </w:pict>
    </w:r>
    <w:r>
      <w:rPr>
        <w:noProof/>
      </w:rPr>
      <w:pict>
        <v:rect id="_x0000_s2054" style="position:absolute;margin-left:0;margin-top:49.5pt;width:198pt;height:4.7pt;flip:y;z-index:251654656" fillcolor="#50565c" stroked="f" strokecolor="blue" strokeweight="1.5pt">
          <v:fill o:detectmouseclick="t"/>
          <v:shadow opacity="22938f" offset="0"/>
          <v:textbox inset=",7.2pt,,7.2pt"/>
        </v:rect>
      </w:pict>
    </w:r>
    <w:r>
      <w:rPr>
        <w:noProof/>
      </w:rPr>
      <w:pict>
        <v:rect id="_x0000_s2055" style="position:absolute;margin-left:0;margin-top:36.2pt;width:540pt;height:49.3pt;z-index:-251662848;mso-position-vertical-relative:page" fillcolor="#00b050"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6" type="#_x0000_t75" alt="doe_logo_ppt.png" style="position:absolute;margin-left:19.6pt;margin-top:12.75pt;width:173.05pt;height:26pt;z-index:25165772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41A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E975DF3"/>
    <w:multiLevelType w:val="hybridMultilevel"/>
    <w:tmpl w:val="7F1E1AD8"/>
    <w:lvl w:ilvl="0" w:tplc="515E147C">
      <w:start w:val="1"/>
      <w:numFmt w:val="decimal"/>
      <w:lvlText w:val="%1."/>
      <w:lvlJc w:val="left"/>
      <w:pPr>
        <w:ind w:left="720" w:hanging="360"/>
      </w:pPr>
      <w:rPr>
        <w:rFonts w:cs="Times New Roman"/>
        <w:b/>
      </w:rPr>
    </w:lvl>
    <w:lvl w:ilvl="1" w:tplc="62AE2CB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4B37C0"/>
    <w:multiLevelType w:val="hybridMultilevel"/>
    <w:tmpl w:val="EF7AC4CC"/>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3E381BA2"/>
    <w:multiLevelType w:val="hybridMultilevel"/>
    <w:tmpl w:val="B30A351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080B09"/>
    <w:multiLevelType w:val="hybridMultilevel"/>
    <w:tmpl w:val="344E036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9B7D9D"/>
    <w:multiLevelType w:val="hybridMultilevel"/>
    <w:tmpl w:val="F50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761C7"/>
    <w:multiLevelType w:val="hybridMultilevel"/>
    <w:tmpl w:val="B2A86224"/>
    <w:lvl w:ilvl="0" w:tplc="515E147C">
      <w:start w:val="1"/>
      <w:numFmt w:val="decimal"/>
      <w:lvlText w:val="%1."/>
      <w:lvlJc w:val="left"/>
      <w:pPr>
        <w:ind w:left="720" w:hanging="360"/>
      </w:pPr>
      <w:rPr>
        <w:rFonts w:cs="Times New Roman"/>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B1405D"/>
    <w:multiLevelType w:val="hybridMultilevel"/>
    <w:tmpl w:val="FF68C14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DA7424"/>
    <w:multiLevelType w:val="hybridMultilevel"/>
    <w:tmpl w:val="BF06CD3E"/>
    <w:lvl w:ilvl="0" w:tplc="515E147C">
      <w:start w:val="1"/>
      <w:numFmt w:val="decimal"/>
      <w:lvlText w:val="%1."/>
      <w:lvlJc w:val="left"/>
      <w:pPr>
        <w:ind w:left="720" w:hanging="360"/>
      </w:pPr>
      <w:rPr>
        <w:rFonts w:cs="Times New Roman"/>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8D150B"/>
    <w:multiLevelType w:val="hybridMultilevel"/>
    <w:tmpl w:val="8B6087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66383648"/>
    <w:multiLevelType w:val="hybridMultilevel"/>
    <w:tmpl w:val="5A14298E"/>
    <w:lvl w:ilvl="0" w:tplc="515E147C">
      <w:start w:val="1"/>
      <w:numFmt w:val="decimal"/>
      <w:lvlText w:val="%1."/>
      <w:lvlJc w:val="left"/>
      <w:pPr>
        <w:ind w:left="720" w:hanging="360"/>
      </w:pPr>
      <w:rPr>
        <w:rFonts w:cs="Times New Roman"/>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464CCF"/>
    <w:multiLevelType w:val="hybridMultilevel"/>
    <w:tmpl w:val="549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D5154"/>
    <w:multiLevelType w:val="hybridMultilevel"/>
    <w:tmpl w:val="9C701DBE"/>
    <w:lvl w:ilvl="0" w:tplc="ADA65408">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864DD1"/>
    <w:multiLevelType w:val="hybridMultilevel"/>
    <w:tmpl w:val="FF24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6"/>
  </w:num>
  <w:num w:numId="6">
    <w:abstractNumId w:val="3"/>
  </w:num>
  <w:num w:numId="7">
    <w:abstractNumId w:val="8"/>
  </w:num>
  <w:num w:numId="8">
    <w:abstractNumId w:val="4"/>
  </w:num>
  <w:num w:numId="9">
    <w:abstractNumId w:val="13"/>
  </w:num>
  <w:num w:numId="10">
    <w:abstractNumId w:val="5"/>
  </w:num>
  <w:num w:numId="11">
    <w:abstractNumId w:val="11"/>
  </w:num>
  <w:num w:numId="12">
    <w:abstractNumId w:val="9"/>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CDA"/>
    <w:rsid w:val="00037917"/>
    <w:rsid w:val="0005398E"/>
    <w:rsid w:val="00064F0A"/>
    <w:rsid w:val="000D513D"/>
    <w:rsid w:val="000D7115"/>
    <w:rsid w:val="00124566"/>
    <w:rsid w:val="001821AB"/>
    <w:rsid w:val="00183758"/>
    <w:rsid w:val="00216183"/>
    <w:rsid w:val="002268FD"/>
    <w:rsid w:val="002A1CCF"/>
    <w:rsid w:val="002B27F4"/>
    <w:rsid w:val="002B3CCE"/>
    <w:rsid w:val="002D171F"/>
    <w:rsid w:val="003034A7"/>
    <w:rsid w:val="00321B20"/>
    <w:rsid w:val="0034090A"/>
    <w:rsid w:val="00340E5A"/>
    <w:rsid w:val="003A3434"/>
    <w:rsid w:val="003A443F"/>
    <w:rsid w:val="003A5586"/>
    <w:rsid w:val="003E519F"/>
    <w:rsid w:val="003F1E16"/>
    <w:rsid w:val="004038AF"/>
    <w:rsid w:val="0040798D"/>
    <w:rsid w:val="0043425C"/>
    <w:rsid w:val="00442CFE"/>
    <w:rsid w:val="00467B27"/>
    <w:rsid w:val="004B6902"/>
    <w:rsid w:val="004F46BF"/>
    <w:rsid w:val="005016FA"/>
    <w:rsid w:val="00517437"/>
    <w:rsid w:val="005723AD"/>
    <w:rsid w:val="005B19E8"/>
    <w:rsid w:val="005B274E"/>
    <w:rsid w:val="005E1F1A"/>
    <w:rsid w:val="00643141"/>
    <w:rsid w:val="006470E6"/>
    <w:rsid w:val="00655615"/>
    <w:rsid w:val="00657075"/>
    <w:rsid w:val="00673727"/>
    <w:rsid w:val="006F693C"/>
    <w:rsid w:val="007500FD"/>
    <w:rsid w:val="00770DDE"/>
    <w:rsid w:val="00786F64"/>
    <w:rsid w:val="007A032E"/>
    <w:rsid w:val="007B3559"/>
    <w:rsid w:val="007C37BD"/>
    <w:rsid w:val="007C61D2"/>
    <w:rsid w:val="007D3260"/>
    <w:rsid w:val="007E4D1B"/>
    <w:rsid w:val="00814766"/>
    <w:rsid w:val="008212DD"/>
    <w:rsid w:val="00822F3D"/>
    <w:rsid w:val="00863E9E"/>
    <w:rsid w:val="008667A6"/>
    <w:rsid w:val="008E4169"/>
    <w:rsid w:val="00953E1B"/>
    <w:rsid w:val="00974253"/>
    <w:rsid w:val="00982C61"/>
    <w:rsid w:val="009931B5"/>
    <w:rsid w:val="00A74EAB"/>
    <w:rsid w:val="00AA5A61"/>
    <w:rsid w:val="00AC0004"/>
    <w:rsid w:val="00AD0CFB"/>
    <w:rsid w:val="00B11AC7"/>
    <w:rsid w:val="00B45CA6"/>
    <w:rsid w:val="00B71D8D"/>
    <w:rsid w:val="00BD315A"/>
    <w:rsid w:val="00BE5F39"/>
    <w:rsid w:val="00C01B5E"/>
    <w:rsid w:val="00C57DCD"/>
    <w:rsid w:val="00C77A6B"/>
    <w:rsid w:val="00CC4297"/>
    <w:rsid w:val="00D145E6"/>
    <w:rsid w:val="00D97274"/>
    <w:rsid w:val="00DA3FEF"/>
    <w:rsid w:val="00DB0A02"/>
    <w:rsid w:val="00DD1EA8"/>
    <w:rsid w:val="00DF3791"/>
    <w:rsid w:val="00E001C4"/>
    <w:rsid w:val="00E00C03"/>
    <w:rsid w:val="00E03CDA"/>
    <w:rsid w:val="00E12047"/>
    <w:rsid w:val="00E866FB"/>
    <w:rsid w:val="00E927E8"/>
    <w:rsid w:val="00EF4277"/>
    <w:rsid w:val="00F304CA"/>
    <w:rsid w:val="00F87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C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CC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B6902"/>
    <w:rPr>
      <w:rFonts w:ascii="Times New Roman" w:hAnsi="Times New Roman" w:cs="Times New Roman"/>
      <w:sz w:val="2"/>
    </w:rPr>
  </w:style>
  <w:style w:type="paragraph" w:styleId="Header">
    <w:name w:val="header"/>
    <w:basedOn w:val="Normal"/>
    <w:link w:val="HeaderChar"/>
    <w:uiPriority w:val="99"/>
    <w:rsid w:val="00E03CDA"/>
    <w:pPr>
      <w:tabs>
        <w:tab w:val="center" w:pos="4320"/>
        <w:tab w:val="right" w:pos="8640"/>
      </w:tabs>
    </w:pPr>
  </w:style>
  <w:style w:type="character" w:customStyle="1" w:styleId="HeaderChar">
    <w:name w:val="Header Char"/>
    <w:basedOn w:val="DefaultParagraphFont"/>
    <w:link w:val="Header"/>
    <w:uiPriority w:val="99"/>
    <w:locked/>
    <w:rsid w:val="00E03CDA"/>
    <w:rPr>
      <w:rFonts w:cs="Times New Roman"/>
      <w:sz w:val="24"/>
      <w:szCs w:val="24"/>
    </w:rPr>
  </w:style>
  <w:style w:type="paragraph" w:styleId="Footer">
    <w:name w:val="footer"/>
    <w:basedOn w:val="Normal"/>
    <w:link w:val="FooterChar"/>
    <w:uiPriority w:val="99"/>
    <w:semiHidden/>
    <w:rsid w:val="00E03CDA"/>
    <w:pPr>
      <w:tabs>
        <w:tab w:val="center" w:pos="4320"/>
        <w:tab w:val="right" w:pos="8640"/>
      </w:tabs>
    </w:pPr>
  </w:style>
  <w:style w:type="character" w:customStyle="1" w:styleId="FooterChar">
    <w:name w:val="Footer Char"/>
    <w:basedOn w:val="DefaultParagraphFont"/>
    <w:link w:val="Footer"/>
    <w:uiPriority w:val="99"/>
    <w:semiHidden/>
    <w:locked/>
    <w:rsid w:val="00E03CDA"/>
    <w:rPr>
      <w:rFonts w:cs="Times New Roman"/>
      <w:sz w:val="24"/>
      <w:szCs w:val="24"/>
    </w:rPr>
  </w:style>
  <w:style w:type="character" w:styleId="PageNumber">
    <w:name w:val="page number"/>
    <w:basedOn w:val="DefaultParagraphFont"/>
    <w:uiPriority w:val="99"/>
    <w:semiHidden/>
    <w:rsid w:val="002A1CCF"/>
    <w:rPr>
      <w:rFonts w:cs="Times New Roman"/>
    </w:rPr>
  </w:style>
  <w:style w:type="paragraph" w:styleId="NoSpacing">
    <w:name w:val="No Spacing"/>
    <w:uiPriority w:val="99"/>
    <w:qFormat/>
    <w:rsid w:val="00822F3D"/>
    <w:rPr>
      <w:rFonts w:ascii="Calibri" w:eastAsia="Times New Roman" w:hAnsi="Calibri"/>
    </w:rPr>
  </w:style>
  <w:style w:type="table" w:styleId="MediumGrid3-Accent1">
    <w:name w:val="Medium Grid 3 Accent 1"/>
    <w:basedOn w:val="TableNormal"/>
    <w:uiPriority w:val="99"/>
    <w:rsid w:val="00822F3D"/>
    <w:rPr>
      <w:rFonts w:ascii="Calibri" w:eastAsia="Times New Roman" w:hAnsi="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8ED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E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E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A9E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A9E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0DB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B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2</Pages>
  <Words>1147</Words>
  <Characters>5373</Characters>
  <Application>Microsoft Office Outlook</Application>
  <DocSecurity>8</DocSecurity>
  <Lines>0</Lines>
  <Paragraphs>0</Paragraphs>
  <ScaleCrop>false</ScaleCrop>
  <Company>NREL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Augustine</dc:creator>
  <cp:keywords/>
  <dc:description/>
  <cp:lastModifiedBy>Mark Walters</cp:lastModifiedBy>
  <cp:revision>15</cp:revision>
  <cp:lastPrinted>2011-05-11T19:47:00Z</cp:lastPrinted>
  <dcterms:created xsi:type="dcterms:W3CDTF">2011-03-21T10:49:00Z</dcterms:created>
  <dcterms:modified xsi:type="dcterms:W3CDTF">2011-05-11T20:12:00Z</dcterms:modified>
</cp:coreProperties>
</file>